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t>НСТРУКТИВНО-МЕТОДИЧЕСКОЕ ПИСЬМО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о преподавании учебного предмета/дисциплины «Иностранный язык»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в организациях образования Приднестровской Молдавской Республики,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реализующих про</w:t>
      </w:r>
      <w:r w:rsidR="00274E43" w:rsidRPr="00952B33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D61C1F" w:rsidRPr="00952B33">
        <w:rPr>
          <w:rFonts w:ascii="Times New Roman" w:eastAsia="Times New Roman" w:hAnsi="Times New Roman" w:cs="Times New Roman"/>
          <w:b/>
          <w:sz w:val="28"/>
          <w:szCs w:val="28"/>
        </w:rPr>
        <w:t>раммы общего образования в 2023</w:t>
      </w:r>
      <w:r w:rsidR="00123614" w:rsidRPr="00952B33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274E43" w:rsidRPr="00952B33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учебном году</w:t>
      </w:r>
    </w:p>
    <w:p w:rsidR="00331CCB" w:rsidRPr="00952B33" w:rsidRDefault="00331CC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952B33" w:rsidRDefault="00952B33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I. Введение</w:t>
      </w:r>
    </w:p>
    <w:p w:rsidR="00D61C1F" w:rsidRPr="00952B33" w:rsidRDefault="00D61C1F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Инструктивно-методическое письмо подготовлено в целях разъяснения вопросов организации преподавания учебн</w:t>
      </w:r>
      <w:r w:rsidR="0040086C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предмет</w:t>
      </w:r>
      <w:r w:rsidR="0040086C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а/дисциплины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40086C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Иностранный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язык» в организациях образования Приднестровской Молдавской Республики, реализующих общеобразовательные программы в 2023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24 учебном году.</w:t>
      </w:r>
    </w:p>
    <w:p w:rsidR="001914E5" w:rsidRPr="00952B33" w:rsidRDefault="004C3E11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Преподавание</w:t>
      </w:r>
      <w:r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учебного предмета/дисциплины «</w:t>
      </w:r>
      <w:r w:rsidRPr="00952B33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реализует ключевые цели 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осударственных образовательных стандартов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основного общего и среднего (полного) общего образования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, связанные с формированием</w:t>
      </w:r>
      <w:r w:rsidR="001914E5"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коммуникативной культуры обучающихся, осознани</w:t>
      </w:r>
      <w:r w:rsidR="00C43D16"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1914E5"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роли</w:t>
      </w:r>
      <w:r w:rsid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14E5" w:rsidRPr="00952B33">
        <w:rPr>
          <w:rFonts w:ascii="Times New Roman" w:hAnsi="Times New Roman" w:cs="Times New Roman"/>
          <w:sz w:val="28"/>
          <w:szCs w:val="28"/>
        </w:rPr>
        <w:t>языков</w:t>
      </w:r>
      <w:r w:rsid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14E5" w:rsidRPr="00952B33">
        <w:rPr>
          <w:rFonts w:ascii="Times New Roman" w:hAnsi="Times New Roman" w:cs="Times New Roman"/>
          <w:sz w:val="28"/>
          <w:szCs w:val="28"/>
          <w:shd w:val="clear" w:color="auto" w:fill="FFFFFF"/>
        </w:rPr>
        <w:t>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331CCB" w:rsidRPr="00952B33" w:rsidRDefault="00331CCB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4E43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II. Норматив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t>ные документы, регламентирующие</w:t>
      </w:r>
      <w:r w:rsidR="00952B3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образовательн</w:t>
      </w:r>
      <w:r w:rsidR="00331CCB" w:rsidRPr="00952B33">
        <w:rPr>
          <w:rFonts w:ascii="Times New Roman" w:eastAsia="Times New Roman" w:hAnsi="Times New Roman" w:cs="Times New Roman"/>
          <w:b/>
          <w:sz w:val="28"/>
          <w:szCs w:val="28"/>
        </w:rPr>
        <w:t>ый процесс</w:t>
      </w:r>
    </w:p>
    <w:p w:rsidR="00C43D16" w:rsidRPr="00577E1C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Hlk129026870"/>
      <w:r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Закон Приднестровской Молдавской Республики от 27 июня 2003 года №</w:t>
      </w:r>
      <w:r w:rsidR="00952B33"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294-</w:t>
      </w:r>
      <w:r w:rsidR="00952B33"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952B33" w:rsidRPr="00577E1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 w:rsidR="00952B33"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образовании» (САЗ 03-26).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4 июля 2016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787 «Об утверждении и введении в действие Государственного образовательного стандарта основного общего образования Приднестровской Молд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авской Республики» (САЗ 16-40).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7 мая 2021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349 «Об утверждении Государственного образовательного стандарта среднего (полного) общего образования» (САЗ 21-27).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Приказ Министерства просвещения Приднестровской Молдавской Республики от 9 апреля 2013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456 «О введении в действие 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осударственных образовательных стандартов профессионального образования» (САЗ 13-29) в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действующей редакции.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10 февраля 2021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73 «Об утверждении Положения о порядке реализации среднего (полного) общего образования в 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 среднего профессионального образования» (САЗ 21-10).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30 июня 2016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бщего образования» (САЗ 16-35).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16 июня 2016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C43D16" w:rsidRPr="00952B33" w:rsidRDefault="00C43D16" w:rsidP="00952B33">
      <w:pPr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5 августа 2022 года №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bookmarkEnd w:id="0"/>
    <w:p w:rsidR="00C43D16" w:rsidRPr="00952B33" w:rsidRDefault="00C43D16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9.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30.06.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16 г. № 767 «О предметной олимпиаде учащихся, осваивающих общеобразовательные программы в организациях образования общего и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профессионального образования».</w:t>
      </w:r>
    </w:p>
    <w:p w:rsidR="00C43D16" w:rsidRPr="00952B33" w:rsidRDefault="00C43D16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10.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04.08.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16 г. № 925 «О предметной олимпиаде учащихся, осваивающих общеобразовательные программы в организациях общего и професси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онального образования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Инструкции о порядке приема и рассмотрения апелляций» (САЗ 16-42).</w:t>
      </w:r>
    </w:p>
    <w:p w:rsidR="00331CCB" w:rsidRPr="00952B33" w:rsidRDefault="00331CCB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5402" w:rsidRPr="00952B33" w:rsidRDefault="0083540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III. Программно-методическое обеспечение</w:t>
      </w:r>
    </w:p>
    <w:p w:rsidR="00835402" w:rsidRPr="00952B33" w:rsidRDefault="00835402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Программное обеспечение по предмету/дисциплине представлено </w:t>
      </w:r>
      <w:r w:rsid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Примерными программами, утвержденными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следующими 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норматив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ными </w:t>
      </w:r>
      <w:r w:rsidR="00123614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ами:</w:t>
      </w:r>
    </w:p>
    <w:p w:rsidR="00C43D16" w:rsidRPr="00952B33" w:rsidRDefault="0083540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52B33">
        <w:rPr>
          <w:rFonts w:ascii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123614" w:rsidRPr="00952B3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росвещения Приднестровской Молдавской Республики 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от 30.12.2020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 xml:space="preserve">1221 «Об утверждении проекта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римерных программ для организаций общего образования ПМР по учебным предметам</w:t>
      </w:r>
      <w:r w:rsidR="001E2027" w:rsidRPr="00952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1E2027" w:rsidRPr="00952B33">
        <w:rPr>
          <w:rFonts w:ascii="Times New Roman" w:eastAsia="Times New Roman" w:hAnsi="Times New Roman" w:cs="Times New Roman"/>
          <w:sz w:val="28"/>
          <w:szCs w:val="28"/>
        </w:rPr>
        <w:t>Иностранный (английский) язык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D203FC" w:rsidRPr="00952B33">
        <w:rPr>
          <w:rFonts w:ascii="Times New Roman" w:eastAsia="Times New Roman" w:hAnsi="Times New Roman" w:cs="Times New Roman"/>
          <w:sz w:val="28"/>
          <w:szCs w:val="28"/>
        </w:rPr>
        <w:t xml:space="preserve">. 2–4 классы;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D203FC" w:rsidRPr="00952B33">
        <w:rPr>
          <w:rFonts w:ascii="Times New Roman" w:eastAsia="Times New Roman" w:hAnsi="Times New Roman" w:cs="Times New Roman"/>
          <w:sz w:val="28"/>
          <w:szCs w:val="28"/>
        </w:rPr>
        <w:t>Иностранный (французский) язык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. 2–4 классы».</w:t>
      </w:r>
    </w:p>
    <w:p w:rsidR="00835402" w:rsidRPr="00952B33" w:rsidRDefault="0083540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2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росвещения Приднестровской Молдавской Республики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т 02.12.2016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1447 «Об утверждении решений Совета по образованию М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инистерства просвещения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 ПМР от 24 ноября 2016 года», п. 1 «б»</w:t>
      </w:r>
      <w:r w:rsidR="00E60E38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208" w:rsidRPr="00952B33" w:rsidRDefault="0083540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3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ab/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росвещения Приднестровской Молдавской Республики от 11.11.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22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952B3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 xml:space="preserve">1014 «О введении в действие Примерной программы по учебному предмету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Иностранный язык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 xml:space="preserve"> для 10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4208" w:rsidRPr="00952B33">
        <w:rPr>
          <w:rFonts w:ascii="Times New Roman" w:eastAsia="Times New Roman" w:hAnsi="Times New Roman" w:cs="Times New Roman"/>
          <w:sz w:val="28"/>
          <w:szCs w:val="28"/>
        </w:rPr>
        <w:t>11 классов общеобразовательных организаций Приднестровской Молдавской Республики»</w:t>
      </w:r>
      <w:r w:rsidR="00E60E38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E38" w:rsidRPr="00952B33" w:rsidRDefault="00E60E38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952B33">
        <w:rPr>
          <w:rFonts w:ascii="Times New Roman" w:hAnsi="Times New Roman" w:cs="Times New Roman"/>
          <w:sz w:val="28"/>
          <w:szCs w:val="28"/>
        </w:rPr>
        <w:tab/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>Приказ Министерств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 xml:space="preserve"> просвещения Приднестровской Молдавской Республики от 11.01.2023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>14 «Об утверждении примерной программы по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 xml:space="preserve">учебной дисциплине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„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>Иностранный язык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”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 xml:space="preserve">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0C23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2284" w:rsidRPr="00952B33" w:rsidRDefault="00FF2284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Вариативная часть по предмету/дисциплине обеспечена программами факультативов и элективных курсов, размещенных на сайте «Школа Приднестровья» (http://schoolpmr.3dn.ru):</w:t>
      </w:r>
    </w:p>
    <w:p w:rsidR="00A70864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577E1C">
        <w:rPr>
          <w:sz w:val="28"/>
          <w:szCs w:val="28"/>
        </w:rPr>
        <w:t>1.</w:t>
      </w:r>
      <w:r w:rsidR="00A70864" w:rsidRPr="00577E1C">
        <w:rPr>
          <w:sz w:val="28"/>
          <w:szCs w:val="28"/>
        </w:rPr>
        <w:tab/>
      </w:r>
      <w:r w:rsidRPr="00577E1C">
        <w:rPr>
          <w:sz w:val="28"/>
          <w:szCs w:val="28"/>
        </w:rPr>
        <w:t xml:space="preserve">Программа «Занимательный английский» для обучающихся </w:t>
      </w:r>
      <w:r w:rsidR="00CA0DA7" w:rsidRPr="00577E1C">
        <w:rPr>
          <w:sz w:val="28"/>
          <w:szCs w:val="28"/>
        </w:rPr>
        <w:t>первых</w:t>
      </w:r>
      <w:r w:rsidRPr="00577E1C">
        <w:rPr>
          <w:sz w:val="28"/>
          <w:szCs w:val="28"/>
        </w:rPr>
        <w:t xml:space="preserve"> классов. Сост</w:t>
      </w:r>
      <w:r w:rsidR="00CA0DA7" w:rsidRPr="00577E1C">
        <w:rPr>
          <w:sz w:val="28"/>
          <w:szCs w:val="28"/>
        </w:rPr>
        <w:t>.</w:t>
      </w:r>
      <w:r w:rsidRPr="00577E1C">
        <w:rPr>
          <w:sz w:val="28"/>
          <w:szCs w:val="28"/>
        </w:rPr>
        <w:t xml:space="preserve"> </w:t>
      </w:r>
      <w:r w:rsidR="00A70864" w:rsidRPr="00577E1C">
        <w:rPr>
          <w:sz w:val="28"/>
          <w:szCs w:val="28"/>
        </w:rPr>
        <w:t xml:space="preserve">Т.Е. </w:t>
      </w:r>
      <w:r w:rsidRPr="00577E1C">
        <w:rPr>
          <w:sz w:val="28"/>
          <w:szCs w:val="28"/>
        </w:rPr>
        <w:t>Крамар, учитель английского языка ГОУ «Республиканский украинский теоретический лицей-комплекс»</w:t>
      </w:r>
      <w:r w:rsidR="00CA0DA7" w:rsidRPr="00577E1C">
        <w:rPr>
          <w:sz w:val="28"/>
          <w:szCs w:val="28"/>
        </w:rPr>
        <w:t>.</w:t>
      </w:r>
    </w:p>
    <w:p w:rsidR="00FF2284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52B33">
        <w:rPr>
          <w:sz w:val="28"/>
          <w:szCs w:val="28"/>
        </w:rPr>
        <w:lastRenderedPageBreak/>
        <w:t>2.</w:t>
      </w:r>
      <w:r w:rsidR="00A70864">
        <w:rPr>
          <w:sz w:val="28"/>
          <w:szCs w:val="28"/>
        </w:rPr>
        <w:tab/>
      </w:r>
      <w:r w:rsidRPr="00952B33">
        <w:rPr>
          <w:sz w:val="28"/>
          <w:szCs w:val="28"/>
        </w:rPr>
        <w:t>Программа «Добро пожаловать в Великобританию и Америку» для обучающихся 6 классов. Сост</w:t>
      </w:r>
      <w:r w:rsidR="00CA0DA7" w:rsidRPr="00952B33">
        <w:rPr>
          <w:sz w:val="28"/>
          <w:szCs w:val="28"/>
        </w:rPr>
        <w:t>.</w:t>
      </w:r>
      <w:r w:rsidRPr="00952B33">
        <w:rPr>
          <w:sz w:val="28"/>
          <w:szCs w:val="28"/>
        </w:rPr>
        <w:t xml:space="preserve"> Т.Е.</w:t>
      </w:r>
      <w:r w:rsidR="00A70864" w:rsidRPr="00A70864">
        <w:rPr>
          <w:sz w:val="28"/>
          <w:szCs w:val="28"/>
        </w:rPr>
        <w:t xml:space="preserve"> </w:t>
      </w:r>
      <w:r w:rsidR="00A70864" w:rsidRPr="00952B33">
        <w:rPr>
          <w:sz w:val="28"/>
          <w:szCs w:val="28"/>
        </w:rPr>
        <w:t>Крамар</w:t>
      </w:r>
      <w:r w:rsidRPr="00952B33">
        <w:rPr>
          <w:sz w:val="28"/>
          <w:szCs w:val="28"/>
        </w:rPr>
        <w:t>, учитель английского языка ГОУ «Республиканский украинский теоретический лицей-комплекс».</w:t>
      </w:r>
    </w:p>
    <w:p w:rsidR="00FF2284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52B33">
        <w:rPr>
          <w:sz w:val="28"/>
          <w:szCs w:val="28"/>
          <w:shd w:val="clear" w:color="auto" w:fill="FFFFFF"/>
        </w:rPr>
        <w:t>3.</w:t>
      </w:r>
      <w:r w:rsidR="00A70864">
        <w:rPr>
          <w:sz w:val="28"/>
          <w:szCs w:val="28"/>
          <w:shd w:val="clear" w:color="auto" w:fill="FFFFFF"/>
        </w:rPr>
        <w:tab/>
      </w:r>
      <w:r w:rsidRPr="00952B33">
        <w:rPr>
          <w:sz w:val="28"/>
          <w:szCs w:val="28"/>
          <w:shd w:val="clear" w:color="auto" w:fill="FFFFFF"/>
        </w:rPr>
        <w:t>Рабочая программа для 5</w:t>
      </w:r>
      <w:r w:rsidR="00A70864">
        <w:rPr>
          <w:sz w:val="28"/>
          <w:szCs w:val="28"/>
          <w:shd w:val="clear" w:color="auto" w:fill="FFFFFF"/>
        </w:rPr>
        <w:t>–</w:t>
      </w:r>
      <w:r w:rsidRPr="00952B33">
        <w:rPr>
          <w:sz w:val="28"/>
          <w:szCs w:val="28"/>
          <w:shd w:val="clear" w:color="auto" w:fill="FFFFFF"/>
        </w:rPr>
        <w:t>11 классов по спецкурсу «Le monde du Fraçais» (Мир французского языка)</w:t>
      </w:r>
      <w:r w:rsidR="00CA0DA7" w:rsidRPr="00952B33">
        <w:rPr>
          <w:sz w:val="28"/>
          <w:szCs w:val="28"/>
          <w:shd w:val="clear" w:color="auto" w:fill="FFFFFF"/>
        </w:rPr>
        <w:t>.</w:t>
      </w:r>
    </w:p>
    <w:p w:rsidR="00FF2284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952B33">
        <w:rPr>
          <w:sz w:val="28"/>
          <w:szCs w:val="28"/>
          <w:shd w:val="clear" w:color="auto" w:fill="FFFFFF"/>
        </w:rPr>
        <w:t>4.</w:t>
      </w:r>
      <w:r w:rsidR="00A70864">
        <w:rPr>
          <w:sz w:val="28"/>
          <w:szCs w:val="28"/>
          <w:shd w:val="clear" w:color="auto" w:fill="FFFFFF"/>
        </w:rPr>
        <w:tab/>
      </w:r>
      <w:r w:rsidRPr="00952B33">
        <w:rPr>
          <w:sz w:val="28"/>
          <w:szCs w:val="28"/>
          <w:shd w:val="clear" w:color="auto" w:fill="FFFFFF"/>
        </w:rPr>
        <w:t>Программа для 8</w:t>
      </w:r>
      <w:r w:rsidR="00A70864">
        <w:rPr>
          <w:sz w:val="28"/>
          <w:szCs w:val="28"/>
          <w:shd w:val="clear" w:color="auto" w:fill="FFFFFF"/>
        </w:rPr>
        <w:t>–</w:t>
      </w:r>
      <w:r w:rsidRPr="00952B33">
        <w:rPr>
          <w:sz w:val="28"/>
          <w:szCs w:val="28"/>
          <w:shd w:val="clear" w:color="auto" w:fill="FFFFFF"/>
        </w:rPr>
        <w:t>11 классов по элективному курсу «Техника перевода» (Английский язык)</w:t>
      </w:r>
      <w:r w:rsidR="00CA0DA7" w:rsidRPr="00952B33">
        <w:rPr>
          <w:sz w:val="28"/>
          <w:szCs w:val="28"/>
          <w:shd w:val="clear" w:color="auto" w:fill="FFFFFF"/>
        </w:rPr>
        <w:t>.</w:t>
      </w:r>
    </w:p>
    <w:p w:rsidR="00FF2284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52B33">
        <w:rPr>
          <w:sz w:val="28"/>
          <w:szCs w:val="28"/>
          <w:shd w:val="clear" w:color="auto" w:fill="FFFFFF"/>
        </w:rPr>
        <w:t>5.</w:t>
      </w:r>
      <w:r w:rsidR="00A70864">
        <w:rPr>
          <w:sz w:val="28"/>
          <w:szCs w:val="28"/>
          <w:shd w:val="clear" w:color="auto" w:fill="FFFFFF"/>
        </w:rPr>
        <w:tab/>
      </w:r>
      <w:r w:rsidRPr="00952B33">
        <w:rPr>
          <w:sz w:val="28"/>
          <w:szCs w:val="28"/>
          <w:shd w:val="clear" w:color="auto" w:fill="FFFFFF"/>
        </w:rPr>
        <w:t>Программа элективного курса по французскому языку как второму иностранному для обучающихся 8</w:t>
      </w:r>
      <w:r w:rsidR="00A70864">
        <w:rPr>
          <w:sz w:val="28"/>
          <w:szCs w:val="28"/>
          <w:shd w:val="clear" w:color="auto" w:fill="FFFFFF"/>
        </w:rPr>
        <w:t>–</w:t>
      </w:r>
      <w:r w:rsidRPr="00952B33">
        <w:rPr>
          <w:sz w:val="28"/>
          <w:szCs w:val="28"/>
          <w:shd w:val="clear" w:color="auto" w:fill="FFFFFF"/>
        </w:rPr>
        <w:t>11 классов. Сост</w:t>
      </w:r>
      <w:r w:rsidR="00CA0DA7" w:rsidRPr="00952B33">
        <w:rPr>
          <w:sz w:val="28"/>
          <w:szCs w:val="28"/>
          <w:shd w:val="clear" w:color="auto" w:fill="FFFFFF"/>
        </w:rPr>
        <w:t>.</w:t>
      </w:r>
      <w:r w:rsidRPr="00952B33">
        <w:rPr>
          <w:sz w:val="28"/>
          <w:szCs w:val="28"/>
          <w:shd w:val="clear" w:color="auto" w:fill="FFFFFF"/>
        </w:rPr>
        <w:t xml:space="preserve"> С.Н.</w:t>
      </w:r>
      <w:r w:rsidR="00A70864" w:rsidRPr="00A70864">
        <w:rPr>
          <w:sz w:val="28"/>
          <w:szCs w:val="28"/>
          <w:shd w:val="clear" w:color="auto" w:fill="FFFFFF"/>
        </w:rPr>
        <w:t xml:space="preserve"> </w:t>
      </w:r>
      <w:r w:rsidR="00A70864" w:rsidRPr="00952B33">
        <w:rPr>
          <w:sz w:val="28"/>
          <w:szCs w:val="28"/>
          <w:shd w:val="clear" w:color="auto" w:fill="FFFFFF"/>
        </w:rPr>
        <w:t>Швец</w:t>
      </w:r>
      <w:r w:rsidRPr="00952B33">
        <w:rPr>
          <w:sz w:val="28"/>
          <w:szCs w:val="28"/>
          <w:shd w:val="clear" w:color="auto" w:fill="FFFFFF"/>
        </w:rPr>
        <w:t>, учитель французского языка ГОУ «Республиканский украинский теоретический лицей-комплекс»</w:t>
      </w:r>
      <w:r w:rsidR="00CA0DA7" w:rsidRPr="00952B33">
        <w:rPr>
          <w:sz w:val="28"/>
          <w:szCs w:val="28"/>
          <w:shd w:val="clear" w:color="auto" w:fill="FFFFFF"/>
        </w:rPr>
        <w:t>.</w:t>
      </w:r>
    </w:p>
    <w:p w:rsidR="00FF2284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52B33">
        <w:rPr>
          <w:sz w:val="28"/>
          <w:szCs w:val="28"/>
        </w:rPr>
        <w:t>6.</w:t>
      </w:r>
      <w:r w:rsidR="00A70864">
        <w:rPr>
          <w:sz w:val="28"/>
          <w:szCs w:val="28"/>
        </w:rPr>
        <w:tab/>
      </w:r>
      <w:r w:rsidRPr="00952B33">
        <w:rPr>
          <w:sz w:val="28"/>
          <w:szCs w:val="28"/>
          <w:shd w:val="clear" w:color="auto" w:fill="FFFFFF"/>
        </w:rPr>
        <w:t>Программа «Мой французский». Сост</w:t>
      </w:r>
      <w:r w:rsidR="00CA0DA7" w:rsidRPr="00952B33">
        <w:rPr>
          <w:sz w:val="28"/>
          <w:szCs w:val="28"/>
          <w:shd w:val="clear" w:color="auto" w:fill="FFFFFF"/>
        </w:rPr>
        <w:t>.</w:t>
      </w:r>
      <w:r w:rsidRPr="00952B33">
        <w:rPr>
          <w:sz w:val="28"/>
          <w:szCs w:val="28"/>
          <w:shd w:val="clear" w:color="auto" w:fill="FFFFFF"/>
        </w:rPr>
        <w:t xml:space="preserve"> </w:t>
      </w:r>
      <w:r w:rsidR="00A70864" w:rsidRPr="00952B33">
        <w:rPr>
          <w:sz w:val="28"/>
          <w:szCs w:val="28"/>
          <w:shd w:val="clear" w:color="auto" w:fill="FFFFFF"/>
        </w:rPr>
        <w:t>Н.И.</w:t>
      </w:r>
      <w:r w:rsidR="00A70864">
        <w:rPr>
          <w:sz w:val="28"/>
          <w:szCs w:val="28"/>
          <w:shd w:val="clear" w:color="auto" w:fill="FFFFFF"/>
        </w:rPr>
        <w:t> </w:t>
      </w:r>
      <w:r w:rsidRPr="00952B33">
        <w:rPr>
          <w:sz w:val="28"/>
          <w:szCs w:val="28"/>
          <w:shd w:val="clear" w:color="auto" w:fill="FFFFFF"/>
        </w:rPr>
        <w:t>Рознерица, учитель французского языка МОУ «Дубоссарская молдавская средняя общеобразовательная школа №</w:t>
      </w:r>
      <w:r w:rsidR="00A70864">
        <w:rPr>
          <w:sz w:val="28"/>
          <w:szCs w:val="28"/>
          <w:shd w:val="clear" w:color="auto" w:fill="FFFFFF"/>
        </w:rPr>
        <w:t> </w:t>
      </w:r>
      <w:r w:rsidRPr="00952B33">
        <w:rPr>
          <w:sz w:val="28"/>
          <w:szCs w:val="28"/>
          <w:shd w:val="clear" w:color="auto" w:fill="FFFFFF"/>
        </w:rPr>
        <w:t>3».</w:t>
      </w:r>
    </w:p>
    <w:p w:rsidR="00F66EC2" w:rsidRPr="00952B33" w:rsidRDefault="00FF2284" w:rsidP="00952B33">
      <w:pPr>
        <w:pStyle w:val="aa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52B33">
        <w:rPr>
          <w:sz w:val="28"/>
          <w:szCs w:val="28"/>
        </w:rPr>
        <w:t>М</w:t>
      </w:r>
      <w:r w:rsidR="00F66EC2" w:rsidRPr="00952B33">
        <w:rPr>
          <w:rFonts w:eastAsia="Calibri"/>
          <w:sz w:val="28"/>
          <w:szCs w:val="28"/>
          <w:lang w:eastAsia="en-US"/>
        </w:rPr>
        <w:t>етодическое сопровождение учебного предмета/дисциплины «Иностранный язык» представлен</w:t>
      </w:r>
      <w:r w:rsidR="00CA0DA7" w:rsidRPr="00952B33">
        <w:rPr>
          <w:rFonts w:eastAsia="Calibri"/>
          <w:sz w:val="28"/>
          <w:szCs w:val="28"/>
          <w:lang w:eastAsia="en-US"/>
        </w:rPr>
        <w:t>о</w:t>
      </w:r>
      <w:r w:rsidR="00F66EC2" w:rsidRPr="00952B33">
        <w:rPr>
          <w:rFonts w:eastAsia="Calibri"/>
          <w:sz w:val="28"/>
          <w:szCs w:val="28"/>
          <w:lang w:eastAsia="en-US"/>
        </w:rPr>
        <w:t xml:space="preserve"> следующими </w:t>
      </w:r>
      <w:r w:rsidR="00A70864">
        <w:rPr>
          <w:rFonts w:eastAsia="Calibri"/>
          <w:sz w:val="28"/>
          <w:szCs w:val="28"/>
          <w:lang w:eastAsia="en-US"/>
        </w:rPr>
        <w:t>матери</w:t>
      </w:r>
      <w:r w:rsidR="00F66EC2" w:rsidRPr="00952B33">
        <w:rPr>
          <w:rFonts w:eastAsia="Calibri"/>
          <w:sz w:val="28"/>
          <w:szCs w:val="28"/>
          <w:lang w:eastAsia="en-US"/>
        </w:rPr>
        <w:t>а</w:t>
      </w:r>
      <w:r w:rsidR="00A70864">
        <w:rPr>
          <w:rFonts w:eastAsia="Calibri"/>
          <w:sz w:val="28"/>
          <w:szCs w:val="28"/>
          <w:lang w:eastAsia="en-US"/>
        </w:rPr>
        <w:t>ла</w:t>
      </w:r>
      <w:r w:rsidR="00F66EC2" w:rsidRPr="00952B33">
        <w:rPr>
          <w:rFonts w:eastAsia="Calibri"/>
          <w:sz w:val="28"/>
          <w:szCs w:val="28"/>
          <w:lang w:eastAsia="en-US"/>
        </w:rPr>
        <w:t>ми:</w:t>
      </w:r>
    </w:p>
    <w:p w:rsidR="00F66EC2" w:rsidRPr="00952B33" w:rsidRDefault="00F66EC2" w:rsidP="00952B3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июля 2018 года №</w:t>
      </w:r>
      <w:r w:rsidR="00A7086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642 «Об утверждении Методических рекомендаций по написанию рабочей программы учебного предмета».</w:t>
      </w:r>
    </w:p>
    <w:p w:rsidR="00F66EC2" w:rsidRPr="00952B33" w:rsidRDefault="00F66EC2" w:rsidP="00952B3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A7086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730 «Об утверждении решений Совета по образованию Министерства просвещения от 21 мая 2013 года» (прил</w:t>
      </w:r>
      <w:r w:rsidR="00CA0DA7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5).</w:t>
      </w:r>
    </w:p>
    <w:p w:rsidR="00F66EC2" w:rsidRPr="00952B33" w:rsidRDefault="00F66EC2" w:rsidP="00952B3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 Министерства просвещения Приднестровской Молдавской Республики от 6 февраля 2023 года №</w:t>
      </w:r>
      <w:r w:rsidR="00A7086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125 «Об утверждении Методических рекомендаций по организации и дозировке домашнего задания в общеобразовательной организации».</w:t>
      </w:r>
    </w:p>
    <w:p w:rsidR="00F66EC2" w:rsidRPr="00952B33" w:rsidRDefault="00F66EC2" w:rsidP="00952B33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</w:t>
      </w:r>
      <w:r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етодические рекомендации по порядку организации, сопровождению и</w:t>
      </w:r>
      <w:r w:rsidR="00A7086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оценке </w:t>
      </w:r>
      <w:r w:rsidR="00920C23"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индивидуальных проектов</w:t>
      </w:r>
      <w:r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обучающихся 10</w:t>
      </w:r>
      <w:r w:rsidR="00CA0DA7"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–</w:t>
      </w:r>
      <w:r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11</w:t>
      </w:r>
      <w:r w:rsidR="00CA0DA7"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952B3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классов, утвержденные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Приднестровской Молдавской Республики от 8 декабря 2022 года №</w:t>
      </w:r>
      <w:r w:rsidR="00A7086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1089 «Об утверждении решений Совета по</w:t>
      </w:r>
      <w:r w:rsidR="00A70864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образованию Министерства просвещения Приднестровской Молдавской Республики от 1 декабря 2022 года»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(прил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9).</w:t>
      </w:r>
    </w:p>
    <w:p w:rsidR="00AB240D" w:rsidRPr="00952B33" w:rsidRDefault="00F66EC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ab/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="00FF2284" w:rsidRPr="00952B33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Приднестровской Молдавской Республики 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от 21.04.2020 г. №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403 «Об утверждении проекта методических рекомендаций по совершенствованию методики преподавания иностранных и официальных (русский, украинский, молдавский) языков в организациях общего среднего образования согласно Приложению 12 к насто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ящему Приказу».</w:t>
      </w:r>
    </w:p>
    <w:p w:rsidR="00AB240D" w:rsidRPr="00952B33" w:rsidRDefault="00F66EC2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6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ab/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r w:rsidR="00FF2284" w:rsidRPr="00952B33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Приднестровской Молдавской Республики 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от 07.08.2020 г. №</w:t>
      </w:r>
      <w:r w:rsidR="00A7086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742 «Об утверждении методических рекомендаций по проведению учебных занятий в общеобразовательных организациях с применением электронного обучения и/или дистанционных образовательных технологий согласно Пр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иложению к настоящему Приказу».</w:t>
      </w:r>
    </w:p>
    <w:p w:rsidR="008E77CF" w:rsidRPr="00952B33" w:rsidRDefault="008E77CF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Рабочие программы по иностранному языку, а также элективным учебным курсам/дисциплинам разрабатываются в соответствии с требованиями </w:t>
      </w:r>
      <w:r w:rsidR="00CA0DA7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осударственного образовательного стандарта соответствующего уровня образования и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регламентируются соответствующими методическими рекомендациями. Рабочие программы являются частью основной образовательной программы организации образования.</w:t>
      </w:r>
    </w:p>
    <w:p w:rsidR="008E77CF" w:rsidRPr="00952B33" w:rsidRDefault="008E77CF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Учитель/преподаватель, разрабатывающий рабочую программу, может самостоятельно расширить перечень изучаемых тем, понятий в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пределах учебной нагрузки, конкретизировать и детализировать отдельные темы, включать расширенный материал республиканского компонента по </w:t>
      </w:r>
      <w:r w:rsidR="00AD07DA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учебно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>му</w:t>
      </w:r>
      <w:r w:rsidR="00AD07DA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предмету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дисциплине; исходя из стоящих перед предметом задач, выбирать методики и технологии обучения, а также виды и формы контроля уровня подготовленности обучающихся. Педагог может внести изменения в составляемую рабочую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программу не более чем на 20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% в основной и старшей школе от примерных программ.</w:t>
      </w:r>
    </w:p>
    <w:p w:rsidR="008E77CF" w:rsidRPr="00952B33" w:rsidRDefault="008E77CF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В 2023</w:t>
      </w:r>
      <w:r w:rsidR="00CA0DA7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24 учебном году действует Перечень учебных изданий, рекомендованных и допущенных для реализации учебного предмета/дисциплины «Иностранный язык» в организациях образования, реализующих о</w:t>
      </w:r>
      <w:r w:rsidR="00AD07DA">
        <w:rPr>
          <w:rFonts w:ascii="Times New Roman" w:eastAsia="Calibri" w:hAnsi="Times New Roman" w:cs="Times New Roman"/>
          <w:sz w:val="28"/>
          <w:szCs w:val="28"/>
          <w:lang w:eastAsia="en-US"/>
        </w:rPr>
        <w:t>бщеобразовательные программы.</w:t>
      </w:r>
    </w:p>
    <w:p w:rsidR="00AB240D" w:rsidRPr="00952B33" w:rsidRDefault="008E77CF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екомендован к использованию в образовательном процессе УМК «Rainbow English» по английскому языку для 2–11 кл. авторов О.В. Афанасьевой, И.В. Михеевой, К.М. Барановой (М.: Просвещение, 2015); по немецкому языку для 2–4 кл.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авторов И.Л. Бим, Л.И. Рыжовой (М.: Просвещение, 2005); по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французскому языку УМК автора А.С. Кулигиной для 2–11 кл. (М.: Просвещение), отвечает требованиям времени, включает в себя все виды речевой деятельности (письмо, говорение, чтение, аудирование); по испанскому языку: для 5 кл. – авторов Е.Е. Липовой, О.Е. Шороховой (М.: Просвещение); для 6 кл. – авторов И.В. Ануровой, Э.И. Соловцовой (М.: Просвещение); для 7 кл. – в 2-х частях автора Н.А. Кондрашовой</w:t>
      </w:r>
      <w:r w:rsidR="00F35DBC" w:rsidRPr="00952B33">
        <w:rPr>
          <w:rFonts w:ascii="Times New Roman" w:eastAsia="Times New Roman" w:hAnsi="Times New Roman" w:cs="Times New Roman"/>
          <w:sz w:val="28"/>
          <w:szCs w:val="28"/>
        </w:rPr>
        <w:t xml:space="preserve"> (М.: Просвещение); для 8–11 кл. </w:t>
      </w:r>
      <w:r w:rsidR="00CA0DA7" w:rsidRPr="00952B3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авторов Н.А.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Кондрашовой, С.В.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Костылевой (М.: Просвещение). Нововведением в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F293B" w:rsidRPr="00952B33">
        <w:rPr>
          <w:rFonts w:ascii="Times New Roman" w:eastAsia="Times New Roman" w:hAnsi="Times New Roman" w:cs="Times New Roman"/>
          <w:sz w:val="28"/>
          <w:szCs w:val="28"/>
        </w:rPr>
        <w:t>УМК является появление лексико-грамматических практикумов с упражнениями и диагностических работ на тренировку и з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акрепление языкового материала.</w:t>
      </w:r>
    </w:p>
    <w:p w:rsidR="00EB482A" w:rsidRPr="00952B33" w:rsidRDefault="00EB482A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5F9C" w:rsidRPr="00952B33" w:rsidRDefault="00EB482A" w:rsidP="00AD07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IV. Контроль знаний на уроках иностранного языка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Контроль в процессе обучения иностранного языка является важной составляющей учебного процесса, так как именно формат контроля обуславливает содержание и технологии обучения. Исходя из цели обучения иностранным языкам, объектом контроля должна являться коммуникативная компетенция обучаемых при ведущей роли речевых умений в области говорения, аудирования, чтения и письма на основе аутентичных материалов, обеспечивающих также контроль знаний, умений и навыков социокультурного фона, типичного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>для лингвокультурного сообщества изучаемого языка и являющегося неотъемлемым компонент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ом коммуникативной компетенции.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соответствия результатов учебной деятельности обучающихся требованиям образовательного стандарта и учебной программы проводится текущий, промежуточный (тематический) и итоговый контроль </w:t>
      </w:r>
      <w:r w:rsidR="00047C96" w:rsidRPr="00952B33">
        <w:rPr>
          <w:rFonts w:ascii="Times New Roman" w:eastAsia="Times New Roman" w:hAnsi="Times New Roman" w:cs="Times New Roman"/>
          <w:sz w:val="28"/>
          <w:szCs w:val="28"/>
        </w:rPr>
        <w:t xml:space="preserve">знаний 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 xml:space="preserve">Текущий контроль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направлен на осуществление учителем обратной связи качества усвоения учащимися учебного материала. Учителю необходимо использовать коммуникативные приемы оценки результатов учебной деятельности обучающихся, при этом устные формы проверки результатов учебных достижений обуч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ающихся являются приоритетными.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Отметка за выполнение обучающимися письменных работ выставляется 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в журнал по усмотрению учителя.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Промежуточный контроль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проводится после ряда занятий, посвященных какой-либо теме или блоку, и является подведением итогов приращения в области речевых умений. Объектом контроля в этом случае будут речевые умения, однако проверке подвергаются не все виды речевой деятельности, а лишь некоторые из них, а сама проверка носит не</w:t>
      </w:r>
      <w:r w:rsidR="001A3BAA" w:rsidRPr="00952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индивидуальный, а фронтальный характер. Формами промежуточного контроля являются тесты и контрольные работы, тематические сообщения, тематические диалоги, проекты, соответствующие этапу обучения. Промежуточный контроль служит подготовкой к рубежному и итог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овому контролю.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 xml:space="preserve">Рубежный контроль </w:t>
      </w:r>
      <w:r w:rsidR="00274E43" w:rsidRPr="00952B33">
        <w:rPr>
          <w:rFonts w:ascii="Times New Roman" w:eastAsia="Times New Roman" w:hAnsi="Times New Roman" w:cs="Times New Roman"/>
          <w:sz w:val="28"/>
          <w:szCs w:val="28"/>
        </w:rPr>
        <w:t>осуществляется по итогам учебно</w:t>
      </w:r>
      <w:r w:rsidR="00047C96" w:rsidRPr="00952B3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административного периода. Отметка за четверть выставляется как среднее арифметическое отметок с учетом преобладающего или наивысшего (по усмотр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ению учителя) поурочного балла.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 xml:space="preserve">Итоговый контроль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призван выявить конечный уровень обученности за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весь курс и выполняет оценочную функцию. Цель итогового контроля – определение сформированного уровня иноязычной коммуникативной компетенции (способности) обучаемых к использованию иностранного языка в прак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>тической деятельности. Годовая отметка выставляется как среднее арифметическое отметок за четверти с учетом динамики индивидуальных учебных достижений у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чащихся на конец учебного года.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Промежуточный и рубежный контроль осуществляется на последних уроках темы или учебного периода. Каждый аспект контролируется на отдельном уроке с выставлением оценок в соответствующую колонку журнала. Контрольные работы на всех уровнях носят комплексный характер и включают задания на обязательную проверку умений по четырем видам речевой деятельности (говорение, чтение, аудирование, письмо), а также задания на проверку владения лексико-грамматическими навыками. Содержание текстов и заданий должно включать материал по итогам изученных за контрольный период коммуникативных тем. Контрольные работы по иностранному языку могут включать задания на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 xml:space="preserve"> проверку переводческих умений.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В приведенной таблице содержатся рекомендации по проведению контроля уровня обучен</w:t>
      </w:r>
      <w:r w:rsidR="001A3BAA" w:rsidRPr="00952B33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B482A" w:rsidRPr="00952B33">
        <w:rPr>
          <w:rFonts w:ascii="Times New Roman" w:eastAsia="Times New Roman" w:hAnsi="Times New Roman" w:cs="Times New Roman"/>
          <w:sz w:val="28"/>
          <w:szCs w:val="28"/>
        </w:rPr>
        <w:t>ости иностранным языкам на 2023</w:t>
      </w:r>
      <w:r w:rsidR="00047C96" w:rsidRPr="00952B33">
        <w:rPr>
          <w:rFonts w:ascii="Times New Roman" w:eastAsia="Times New Roman" w:hAnsi="Times New Roman" w:cs="Times New Roman"/>
          <w:sz w:val="28"/>
          <w:szCs w:val="28"/>
        </w:rPr>
        <w:t>/</w:t>
      </w:r>
      <w:r w:rsidR="001A3BAA" w:rsidRPr="00952B33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 учебный год (табл.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1).</w:t>
      </w:r>
    </w:p>
    <w:p w:rsidR="00AB240D" w:rsidRPr="00AD07DA" w:rsidRDefault="00AD07DA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Таблица 1</w:t>
      </w:r>
    </w:p>
    <w:p w:rsidR="00AB240D" w:rsidRPr="00952B33" w:rsidRDefault="00AD07DA" w:rsidP="00AD07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 уровня обученности</w:t>
      </w:r>
    </w:p>
    <w:tbl>
      <w:tblPr>
        <w:tblStyle w:val="a5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2454"/>
        <w:gridCol w:w="577"/>
        <w:gridCol w:w="616"/>
        <w:gridCol w:w="616"/>
        <w:gridCol w:w="653"/>
        <w:gridCol w:w="610"/>
        <w:gridCol w:w="692"/>
        <w:gridCol w:w="692"/>
        <w:gridCol w:w="689"/>
        <w:gridCol w:w="692"/>
        <w:gridCol w:w="689"/>
        <w:gridCol w:w="828"/>
      </w:tblGrid>
      <w:tr w:rsidR="00952B33" w:rsidRPr="00AD07DA" w:rsidTr="00AD07DA">
        <w:trPr>
          <w:trHeight w:val="369"/>
        </w:trPr>
        <w:tc>
          <w:tcPr>
            <w:tcW w:w="1251" w:type="pct"/>
            <w:vMerge w:val="restar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Уровень</w:t>
            </w:r>
          </w:p>
        </w:tc>
        <w:tc>
          <w:tcPr>
            <w:tcW w:w="3749" w:type="pct"/>
            <w:gridSpan w:val="11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Классы</w:t>
            </w:r>
          </w:p>
        </w:tc>
      </w:tr>
      <w:tr w:rsidR="00952B33" w:rsidRPr="00AD07DA" w:rsidTr="00AD07DA">
        <w:trPr>
          <w:trHeight w:val="369"/>
        </w:trPr>
        <w:tc>
          <w:tcPr>
            <w:tcW w:w="1251" w:type="pct"/>
            <w:vMerge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AB240D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11</w:t>
            </w:r>
          </w:p>
        </w:tc>
      </w:tr>
      <w:tr w:rsidR="00952B33" w:rsidRPr="00AD07DA" w:rsidTr="00AD07DA">
        <w:trPr>
          <w:trHeight w:val="369"/>
        </w:trPr>
        <w:tc>
          <w:tcPr>
            <w:tcW w:w="5000" w:type="pct"/>
            <w:gridSpan w:val="12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Количество контрольных работ в год</w:t>
            </w:r>
          </w:p>
        </w:tc>
      </w:tr>
      <w:tr w:rsidR="00952B33" w:rsidRPr="00AD07DA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Базовый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</w:tr>
      <w:tr w:rsidR="00952B33" w:rsidRPr="00AD07DA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Профильный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</w:tr>
      <w:tr w:rsidR="00AD07DA" w:rsidRPr="00AD07DA" w:rsidTr="00AD07DA">
        <w:trPr>
          <w:trHeight w:val="369"/>
        </w:trPr>
        <w:tc>
          <w:tcPr>
            <w:tcW w:w="12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Углубленный</w:t>
            </w:r>
          </w:p>
        </w:tc>
        <w:tc>
          <w:tcPr>
            <w:tcW w:w="29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–</w:t>
            </w:r>
          </w:p>
        </w:tc>
        <w:tc>
          <w:tcPr>
            <w:tcW w:w="31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3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1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351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4</w:t>
            </w:r>
          </w:p>
        </w:tc>
      </w:tr>
    </w:tbl>
    <w:p w:rsidR="00AB240D" w:rsidRPr="00952B33" w:rsidRDefault="00AB240D" w:rsidP="00AD07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40D" w:rsidRPr="00952B33" w:rsidRDefault="002F293B" w:rsidP="00AD07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V. Основные рекомендации по организации</w:t>
      </w:r>
      <w:r w:rsidR="00AD07DA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</w:t>
      </w:r>
      <w:r w:rsidR="00AD07D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процесса по иностранному языку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В соответствии с Базисным учебным планом иностранный язык в образовательных организациях общего образования Приднестровской Молдавской Республики изучается как обязательный предмет со 2-го по 11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-й классы на следующих уровнях: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>– базовый – со 2-го по 11 кла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ссы;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профильный – с 10 по 11 классы;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– углу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бленный – со 2-го по 11 классы.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Количество часов для изучения иностранного языка на углубленном уровне определяется в программах и УМК, которые реализуют образов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ательные организации (табл. 2).</w:t>
      </w:r>
    </w:p>
    <w:p w:rsidR="00AB240D" w:rsidRPr="00AD07DA" w:rsidRDefault="00AD07DA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Таблица 2</w:t>
      </w:r>
    </w:p>
    <w:p w:rsidR="00AB240D" w:rsidRPr="00952B33" w:rsidRDefault="002F293B" w:rsidP="00AD07D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учебных часов в неделю по классам</w:t>
      </w:r>
    </w:p>
    <w:tbl>
      <w:tblPr>
        <w:tblStyle w:val="a6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153"/>
        <w:gridCol w:w="572"/>
        <w:gridCol w:w="586"/>
        <w:gridCol w:w="587"/>
        <w:gridCol w:w="585"/>
        <w:gridCol w:w="585"/>
        <w:gridCol w:w="588"/>
        <w:gridCol w:w="585"/>
        <w:gridCol w:w="583"/>
        <w:gridCol w:w="583"/>
        <w:gridCol w:w="712"/>
        <w:gridCol w:w="689"/>
      </w:tblGrid>
      <w:tr w:rsidR="00952B33" w:rsidRPr="00AD07DA" w:rsidTr="00AD07DA">
        <w:trPr>
          <w:trHeight w:val="369"/>
        </w:trPr>
        <w:tc>
          <w:tcPr>
            <w:tcW w:w="1608" w:type="pct"/>
            <w:vMerge w:val="restar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392" w:type="pct"/>
            <w:gridSpan w:val="11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учебных часов в неделю по классам</w:t>
            </w:r>
          </w:p>
        </w:tc>
      </w:tr>
      <w:tr w:rsidR="00952B33" w:rsidRPr="00AD07DA" w:rsidTr="00AD07DA">
        <w:trPr>
          <w:trHeight w:val="369"/>
        </w:trPr>
        <w:tc>
          <w:tcPr>
            <w:tcW w:w="1608" w:type="pct"/>
            <w:vMerge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AB240D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52B33" w:rsidRPr="00AD07DA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Базовый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52B33" w:rsidRPr="00AD07DA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Профильный</w:t>
            </w:r>
          </w:p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(как первый иностранный)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D07DA" w:rsidRPr="00AD07DA" w:rsidTr="00AD07DA">
        <w:trPr>
          <w:trHeight w:val="369"/>
        </w:trPr>
        <w:tc>
          <w:tcPr>
            <w:tcW w:w="160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Профильный</w:t>
            </w:r>
          </w:p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(как второй иностранный)</w:t>
            </w:r>
          </w:p>
        </w:tc>
        <w:tc>
          <w:tcPr>
            <w:tcW w:w="292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9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30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29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0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AB240D" w:rsidRPr="00952B33" w:rsidRDefault="00AB240D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3152"/>
        <w:gridCol w:w="6656"/>
      </w:tblGrid>
      <w:tr w:rsidR="00AD07DA" w:rsidRPr="00AD07DA" w:rsidTr="00AD07DA">
        <w:trPr>
          <w:trHeight w:val="369"/>
        </w:trPr>
        <w:tc>
          <w:tcPr>
            <w:tcW w:w="1607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</w:tcPr>
          <w:p w:rsidR="00AB240D" w:rsidRPr="00AD07DA" w:rsidRDefault="00AD07DA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Углубленный</w:t>
            </w:r>
          </w:p>
        </w:tc>
        <w:tc>
          <w:tcPr>
            <w:tcW w:w="3393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</w:tcPr>
          <w:p w:rsidR="00AB240D" w:rsidRPr="00AD07DA" w:rsidRDefault="002F293B" w:rsidP="00AD07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07DA">
              <w:rPr>
                <w:rFonts w:ascii="Times New Roman" w:eastAsia="Times New Roman" w:hAnsi="Times New Roman" w:cs="Times New Roman"/>
                <w:sz w:val="26"/>
                <w:szCs w:val="26"/>
              </w:rPr>
              <w:t>В соответствии с программой образовательного учреждения УМК</w:t>
            </w:r>
          </w:p>
        </w:tc>
      </w:tr>
    </w:tbl>
    <w:p w:rsidR="00AB240D" w:rsidRPr="00952B33" w:rsidRDefault="00AB240D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Для выполнения всех видов учебных работ по иностранному языку обучающим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ся рекомендуется иметь тетради: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первый год обучения (2 класс) – 2 тетради в клетку (для изучающих английский язык) / 2 тетради в линейку/клетку (для изучающих немецкий, французский и испанский языки), одна из которых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 xml:space="preserve"> может быть на печатной основе;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второй год обучения (3 класс) и последующие года обучения (4–11 классы) – 2 тетради в клетку (для изучающих английский язык) / 2 тетради в линейку (для изучающих немецкий, французский и испанский языки), тетрадь-словарь, а также тетрадь-справочник (по решению м/о у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>чителей иностранного языка ОО);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D07DA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тематических, периодических и итоговых контрольных работ специальные тетради вводятся по решению м/о 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учителей иностранного языка ОО.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состав современных УМК по иностранному языку входят рабочие тетради для 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обучающихся на печатной основе.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При условии использования всех составляющих УМК рекомендовано ведение одной дополнительной тетради в клетку (для изучающих английский язык) / линейку (для изучающих немецкий, французский и испанский языки) для выполнения упражнений и творческих заданий, которые не вошли в рабочие тетради и предст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авляют интерес для обучающихся.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Во 2–6 классах тетради обучающихся, в которых выполняются учебные классные и домашние работы по иностранному языку, проверяются после каждого урока у всех учеников с выставлением отметки; в 7–8 классах – один раз в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неделю; в 9–11 классах проверяются наиболее значимые работы, но с таким расчетом, чтобы один раз в месяц проверялись тетради всех обучающихся.</w:t>
      </w:r>
    </w:p>
    <w:p w:rsidR="00AB240D" w:rsidRPr="00952B33" w:rsidRDefault="002F293B" w:rsidP="007722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Тетради-словари по иностранным языкам проверяются один раз в четверть. Учитель исправляет ошибки и 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ставит подпись и дату проверки.</w:t>
      </w:r>
    </w:p>
    <w:p w:rsidR="001A3BAA" w:rsidRPr="00952B33" w:rsidRDefault="001A3BAA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952B33" w:rsidRDefault="002F293B" w:rsidP="007722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VI. Рекомендации по организации методической работы</w:t>
      </w:r>
      <w:r w:rsidR="0077229B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и повышению профессион</w:t>
      </w:r>
      <w:r w:rsidR="0077229B">
        <w:rPr>
          <w:rFonts w:ascii="Times New Roman" w:eastAsia="Times New Roman" w:hAnsi="Times New Roman" w:cs="Times New Roman"/>
          <w:b/>
          <w:sz w:val="28"/>
          <w:szCs w:val="28"/>
        </w:rPr>
        <w:t>альной компетентности педагогов</w:t>
      </w:r>
    </w:p>
    <w:p w:rsidR="00AB240D" w:rsidRPr="00952B33" w:rsidRDefault="00692B80" w:rsidP="00952B33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целью организационно-методического обеспечения введения Государственного образовательного стандарта </w:t>
      </w:r>
      <w:r w:rsidR="00047C96"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основного общего и среднего (полного) общего образования 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рекомендуется продолжить работу по рассмотрению на</w:t>
      </w:r>
      <w:r w:rsidR="0077229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952B33">
        <w:rPr>
          <w:rFonts w:ascii="Times New Roman" w:eastAsia="Calibri" w:hAnsi="Times New Roman" w:cs="Times New Roman"/>
          <w:sz w:val="28"/>
          <w:szCs w:val="28"/>
          <w:lang w:eastAsia="en-US"/>
        </w:rPr>
        <w:t>уровне институциональных и муниципальных предметных методических объединений следующих примерных тем и вопросов:</w:t>
      </w:r>
    </w:p>
    <w:p w:rsidR="00692B80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  <w:highlight w:val="white"/>
        </w:rPr>
        <w:t>Критерии отбора заданий, направленных на формирование УУД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2B33">
        <w:rPr>
          <w:rFonts w:ascii="Times New Roman" w:eastAsia="Times New Roman" w:hAnsi="Times New Roman" w:cs="Times New Roman"/>
          <w:sz w:val="28"/>
          <w:szCs w:val="28"/>
          <w:highlight w:val="white"/>
        </w:rPr>
        <w:t>учащихся, в рамках введения ГОС на уроках иностранного языка.</w:t>
      </w:r>
    </w:p>
    <w:p w:rsidR="00692B80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  <w:highlight w:val="white"/>
        </w:rPr>
        <w:t>Основные подходы к оценке метапредметных результатов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2B3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деятельности 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обучающихся на учебных 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занятиях по иностранному языку.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  <w:highlight w:val="white"/>
        </w:rPr>
        <w:t>3.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Реализация ГОС через внедрение педагогами на уроках современных методов и т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ехнологий деятельностного типа.</w:t>
      </w:r>
    </w:p>
    <w:p w:rsidR="00FF6ECA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Методика работы одаренных обучающихся (с повышенным интеллектуальным уровне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м развития) иностранному языку.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Развитие творческого потенциала личности обучающихся: виды и форм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ы работы учителя/преподавателя.</w:t>
      </w:r>
    </w:p>
    <w:p w:rsidR="00FF6ECA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6.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Приемы организации контрольно-оценочной деятельности участников образовательного 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процесса по иностранному языку.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7.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Организационно-методические особенности использования в образовательном процессе по иностранному языку активных и интерактив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ных методов и приемов обучения.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8.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Использование проблемных, проектных, исследовательских методов обучения на уроках (учебных занятиях) иностранно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го языка и во внеурочное время.</w:t>
      </w:r>
    </w:p>
    <w:p w:rsidR="00AB240D" w:rsidRPr="00952B33" w:rsidRDefault="002F293B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9.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ab/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Использование эффективных приемов обратной связи, взаимоконтроля и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самооценки обучающихся, организация системной работы по устранению выявленных пробелов в знаниях п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о учебному предмету/дисциплине.</w:t>
      </w:r>
    </w:p>
    <w:p w:rsidR="00AB240D" w:rsidRPr="00952B33" w:rsidRDefault="002F293B" w:rsidP="007722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Использование здоровьесберегающих технологий при обучении иностранному языку в контексте реализации ГОС.</w:t>
      </w:r>
    </w:p>
    <w:p w:rsidR="002419CA" w:rsidRPr="00952B33" w:rsidRDefault="002419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профессиональных компетенций педагогов в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047C96" w:rsidRPr="00952B33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накопительной системе, а также проводит обучающие учебно-методические семинары и вебинары.</w:t>
      </w:r>
    </w:p>
    <w:p w:rsidR="00AB240D" w:rsidRPr="00952B33" w:rsidRDefault="00AB240D" w:rsidP="00952B3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952B33" w:rsidRDefault="002F293B" w:rsidP="007722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>VII. Список электронны</w:t>
      </w:r>
      <w:r w:rsidR="00FF6ECA" w:rsidRPr="00952B33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952B33">
        <w:rPr>
          <w:rFonts w:ascii="Times New Roman" w:eastAsia="Times New Roman" w:hAnsi="Times New Roman" w:cs="Times New Roman"/>
          <w:b/>
          <w:sz w:val="28"/>
          <w:szCs w:val="28"/>
        </w:rPr>
        <w:t xml:space="preserve"> ресурс</w:t>
      </w:r>
      <w:r w:rsidR="00FF6ECA" w:rsidRPr="00952B33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FF6ECA" w:rsidRPr="00577E1C" w:rsidRDefault="00FF6E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t>https://www.minpros</w:t>
      </w:r>
      <w:r w:rsidRPr="00577E1C">
        <w:rPr>
          <w:rFonts w:ascii="Times New Roman" w:eastAsia="Times New Roman" w:hAnsi="Times New Roman" w:cs="Times New Roman"/>
          <w:sz w:val="28"/>
          <w:szCs w:val="28"/>
        </w:rPr>
        <w:t>.info/ – сайт Министерства просвещения Приднестровской Молдавской Республики.</w:t>
      </w:r>
    </w:p>
    <w:p w:rsidR="00FF6ECA" w:rsidRPr="00577E1C" w:rsidRDefault="00FF6E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E1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hyperlink r:id="rId7" w:history="1">
        <w:r w:rsidRPr="00577E1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http://ceko-pmr.org/</w:t>
        </w:r>
      </w:hyperlink>
      <w:r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сайт Центра эк</w:t>
      </w:r>
      <w:r w:rsidR="0077229B"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577E1C">
        <w:rPr>
          <w:rFonts w:ascii="Times New Roman" w:eastAsia="Calibri" w:hAnsi="Times New Roman" w:cs="Times New Roman"/>
          <w:sz w:val="28"/>
          <w:szCs w:val="28"/>
          <w:lang w:eastAsia="en-US"/>
        </w:rPr>
        <w:t>пертизы качества образования.</w:t>
      </w:r>
    </w:p>
    <w:p w:rsidR="00FF6ECA" w:rsidRPr="00577E1C" w:rsidRDefault="00FF6E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3. http://iro</w:t>
      </w:r>
      <w:r w:rsidRPr="00577E1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ipk</w:t>
      </w: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577E1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idknet</w:t>
      </w: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577E1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com</w:t>
      </w: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/ –</w:t>
      </w:r>
      <w:r w:rsidR="0077229B"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сайт ГОУ ДПО «ИРОиПК».</w:t>
      </w:r>
    </w:p>
    <w:p w:rsidR="00FF6ECA" w:rsidRPr="00577E1C" w:rsidRDefault="00FF6E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>4. http://schoolpmr.3dn.ru/ – сайт «Школа Приднестровья».</w:t>
      </w:r>
    </w:p>
    <w:p w:rsidR="00FF6ECA" w:rsidRPr="00952B33" w:rsidRDefault="00FF6E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5. </w:t>
      </w:r>
      <w:hyperlink r:id="rId8" w:history="1">
        <w:r w:rsidRPr="00577E1C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https://edu.gospmr.org/</w:t>
        </w:r>
      </w:hyperlink>
      <w:r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="0077229B" w:rsidRPr="00577E1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сайт </w:t>
      </w:r>
      <w:r w:rsidRPr="00577E1C">
        <w:rPr>
          <w:rFonts w:ascii="Times New Roman" w:eastAsia="Times New Roman" w:hAnsi="Times New Roman" w:cs="Times New Roman"/>
          <w:sz w:val="28"/>
          <w:szCs w:val="28"/>
        </w:rPr>
        <w:t>«Электронная</w:t>
      </w:r>
      <w:bookmarkStart w:id="1" w:name="_GoBack"/>
      <w:bookmarkEnd w:id="1"/>
      <w:r w:rsidRPr="00952B33">
        <w:rPr>
          <w:rFonts w:ascii="Times New Roman" w:eastAsia="Times New Roman" w:hAnsi="Times New Roman" w:cs="Times New Roman"/>
          <w:sz w:val="28"/>
          <w:szCs w:val="28"/>
        </w:rPr>
        <w:t xml:space="preserve"> школа Приднест</w:t>
      </w:r>
      <w:r w:rsidRPr="00952B33">
        <w:rPr>
          <w:rFonts w:ascii="Times New Roman" w:eastAsia="Times New Roman" w:hAnsi="Times New Roman" w:cs="Times New Roman"/>
          <w:sz w:val="28"/>
          <w:szCs w:val="28"/>
        </w:rPr>
        <w:softHyphen/>
        <w:t>ровья».</w:t>
      </w:r>
    </w:p>
    <w:p w:rsidR="002419CA" w:rsidRPr="00952B33" w:rsidRDefault="002419CA" w:rsidP="00952B33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40D" w:rsidRPr="00952B33" w:rsidRDefault="002F293B" w:rsidP="0077229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52B33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Составитель</w:t>
      </w:r>
      <w:r w:rsidR="0077229B">
        <w:rPr>
          <w:rFonts w:ascii="Times New Roman" w:eastAsia="Times New Roman" w:hAnsi="Times New Roman" w:cs="Times New Roman"/>
          <w:sz w:val="28"/>
          <w:szCs w:val="28"/>
        </w:rPr>
        <w:br/>
      </w:r>
      <w:r w:rsidR="00615CC8" w:rsidRPr="00952B33">
        <w:rPr>
          <w:rFonts w:ascii="Times New Roman" w:eastAsia="Times New Roman" w:hAnsi="Times New Roman" w:cs="Times New Roman"/>
          <w:b/>
          <w:i/>
          <w:sz w:val="28"/>
          <w:szCs w:val="28"/>
        </w:rPr>
        <w:t>А.В. Завтур</w:t>
      </w: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>, ведущий методист</w:t>
      </w:r>
      <w:r w:rsidR="0077229B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>кафедры общеобразовательных дисциплин</w:t>
      </w:r>
      <w:r w:rsidR="0077229B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952B33">
        <w:rPr>
          <w:rFonts w:ascii="Times New Roman" w:eastAsia="Times New Roman" w:hAnsi="Times New Roman" w:cs="Times New Roman"/>
          <w:i/>
          <w:sz w:val="28"/>
          <w:szCs w:val="28"/>
        </w:rPr>
        <w:t>и дополнительного образования ГОУ ДПО «ИРОиПК»</w:t>
      </w:r>
    </w:p>
    <w:sectPr w:rsidR="00AB240D" w:rsidRPr="00952B33" w:rsidSect="00952B33">
      <w:footerReference w:type="default" r:id="rId9"/>
      <w:pgSz w:w="11907" w:h="16840" w:code="9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B33" w:rsidRDefault="00952B33" w:rsidP="00952B33">
      <w:pPr>
        <w:spacing w:line="240" w:lineRule="auto"/>
      </w:pPr>
      <w:r>
        <w:separator/>
      </w:r>
    </w:p>
  </w:endnote>
  <w:endnote w:type="continuationSeparator" w:id="0">
    <w:p w:rsidR="00952B33" w:rsidRDefault="00952B33" w:rsidP="00952B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-334993093"/>
      <w:docPartObj>
        <w:docPartGallery w:val="Page Numbers (Bottom of Page)"/>
        <w:docPartUnique/>
      </w:docPartObj>
    </w:sdtPr>
    <w:sdtEndPr/>
    <w:sdtContent>
      <w:p w:rsidR="00952B33" w:rsidRPr="00952B33" w:rsidRDefault="00952B33" w:rsidP="00952B33">
        <w:pPr>
          <w:pStyle w:val="ae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952B3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952B33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952B3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77E1C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52B3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B33" w:rsidRDefault="00952B33" w:rsidP="00952B33">
      <w:pPr>
        <w:spacing w:line="240" w:lineRule="auto"/>
      </w:pPr>
      <w:r>
        <w:separator/>
      </w:r>
    </w:p>
  </w:footnote>
  <w:footnote w:type="continuationSeparator" w:id="0">
    <w:p w:rsidR="00952B33" w:rsidRDefault="00952B33" w:rsidP="00952B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4AC1"/>
    <w:multiLevelType w:val="multilevel"/>
    <w:tmpl w:val="1A7C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E31B4"/>
    <w:multiLevelType w:val="hybridMultilevel"/>
    <w:tmpl w:val="B2B6A390"/>
    <w:lvl w:ilvl="0" w:tplc="896C5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290F9B"/>
    <w:multiLevelType w:val="hybridMultilevel"/>
    <w:tmpl w:val="C7F46E80"/>
    <w:lvl w:ilvl="0" w:tplc="C050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0D"/>
    <w:rsid w:val="00021C62"/>
    <w:rsid w:val="00033C8E"/>
    <w:rsid w:val="00047C96"/>
    <w:rsid w:val="00073E71"/>
    <w:rsid w:val="00123614"/>
    <w:rsid w:val="001914E5"/>
    <w:rsid w:val="001A3BAA"/>
    <w:rsid w:val="001E2027"/>
    <w:rsid w:val="002419CA"/>
    <w:rsid w:val="00274E43"/>
    <w:rsid w:val="002F293B"/>
    <w:rsid w:val="00331CCB"/>
    <w:rsid w:val="0040086C"/>
    <w:rsid w:val="004C3E11"/>
    <w:rsid w:val="00577E1C"/>
    <w:rsid w:val="00615CC8"/>
    <w:rsid w:val="00664EF7"/>
    <w:rsid w:val="00692B80"/>
    <w:rsid w:val="0077229B"/>
    <w:rsid w:val="007B5F9C"/>
    <w:rsid w:val="00835402"/>
    <w:rsid w:val="008E77CF"/>
    <w:rsid w:val="00920C23"/>
    <w:rsid w:val="00952B33"/>
    <w:rsid w:val="009D5476"/>
    <w:rsid w:val="00A34208"/>
    <w:rsid w:val="00A70864"/>
    <w:rsid w:val="00AB240D"/>
    <w:rsid w:val="00AD07DA"/>
    <w:rsid w:val="00B013B6"/>
    <w:rsid w:val="00C43D16"/>
    <w:rsid w:val="00CA0DA7"/>
    <w:rsid w:val="00D203FC"/>
    <w:rsid w:val="00D61C1F"/>
    <w:rsid w:val="00DB12B9"/>
    <w:rsid w:val="00E60E38"/>
    <w:rsid w:val="00EB482A"/>
    <w:rsid w:val="00F35DBC"/>
    <w:rsid w:val="00F66EC2"/>
    <w:rsid w:val="00FF2284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2036DA-2B11-45BD-8C72-EF2409E1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5D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D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3BA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1A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615CC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952B3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2B33"/>
  </w:style>
  <w:style w:type="paragraph" w:styleId="ae">
    <w:name w:val="footer"/>
    <w:basedOn w:val="a"/>
    <w:link w:val="af"/>
    <w:uiPriority w:val="99"/>
    <w:unhideWhenUsed/>
    <w:rsid w:val="00952B3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2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2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?redirect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ko-pm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2827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Oksana</cp:lastModifiedBy>
  <cp:revision>5</cp:revision>
  <dcterms:created xsi:type="dcterms:W3CDTF">2023-03-22T07:22:00Z</dcterms:created>
  <dcterms:modified xsi:type="dcterms:W3CDTF">2023-03-28T19:45:00Z</dcterms:modified>
</cp:coreProperties>
</file>